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D144" w14:textId="77777777" w:rsidR="00DB0B56" w:rsidRPr="00D10103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О</w:t>
      </w:r>
      <w:r w:rsidRPr="00D10103">
        <w:rPr>
          <w:rFonts w:ascii="Times New Roman" w:hAnsi="Times New Roman" w:cs="Times New Roman"/>
          <w:b/>
          <w:bCs/>
          <w:color w:val="2D2F32"/>
          <w:sz w:val="28"/>
          <w:szCs w:val="28"/>
        </w:rPr>
        <w:t xml:space="preserve"> сроках проведения экзаменов, сроках и местах подачи заявлений об участии в экзаменах и заявлений об участии в ЕГЭ, местах регистрации на сдачу ЕГЭ для участников ЕГЭ</w:t>
      </w:r>
    </w:p>
    <w:p w14:paraId="1434DF91" w14:textId="77777777" w:rsidR="00DB0B56" w:rsidRPr="00D10103" w:rsidRDefault="00DB0B56" w:rsidP="00DB0B56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1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проведения ЕГЭ и ГВЭ-11 на 2026 год </w:t>
      </w:r>
    </w:p>
    <w:p w14:paraId="4B718A8D" w14:textId="77777777" w:rsidR="00DB0B56" w:rsidRPr="00D10103" w:rsidRDefault="00DB0B56" w:rsidP="00DB0B56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DD2AFF" w14:textId="77777777" w:rsidR="00DB0B56" w:rsidRPr="00D10103" w:rsidRDefault="00DB0B56" w:rsidP="00DB0B5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60"/>
        <w:gridCol w:w="3740"/>
      </w:tblGrid>
      <w:tr w:rsidR="00DB0B56" w:rsidRPr="00D10103" w14:paraId="3366F365" w14:textId="77777777" w:rsidTr="004A0FF0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686F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1E1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2A2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ГВЭ-11</w:t>
            </w:r>
          </w:p>
        </w:tc>
      </w:tr>
      <w:tr w:rsidR="00DB0B56" w:rsidRPr="00D10103" w14:paraId="446B7B8A" w14:textId="77777777" w:rsidTr="004A0FF0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94396B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Досрочный период</w:t>
            </w:r>
          </w:p>
        </w:tc>
      </w:tr>
      <w:tr w:rsidR="00DB0B56" w:rsidRPr="00D10103" w14:paraId="6BB9118A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236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81E2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5E9" w14:textId="77777777" w:rsidR="00DB0B56" w:rsidRPr="00D10103" w:rsidRDefault="00DB0B56" w:rsidP="004A0FF0">
            <w:pPr>
              <w:tabs>
                <w:tab w:val="left" w:pos="386"/>
              </w:tabs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2F1DF3FF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BC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24 марта (вт)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5EE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802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B0B56" w:rsidRPr="00D10103" w14:paraId="3693F5C3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D5D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7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66D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B0B56" w:rsidRPr="00D10103" w14:paraId="78117E88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FC3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(вт)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45D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биология, 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FEB6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324EE388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F42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3 апреля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78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3A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695F89A7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E8B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(вт)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E91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информатика, 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A1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19BE458A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AAD5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10 апреля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54B8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D82E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2A59D49D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708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13 апреля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4B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1CE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русский язык</w:t>
            </w:r>
          </w:p>
        </w:tc>
      </w:tr>
      <w:tr w:rsidR="00DB0B56" w:rsidRPr="00D10103" w14:paraId="2F4A92AB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6D4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16 апреля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AE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298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математика</w:t>
            </w:r>
          </w:p>
        </w:tc>
      </w:tr>
      <w:tr w:rsidR="00DB0B56" w:rsidRPr="00D10103" w14:paraId="2BA1B59E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E9B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17 апреля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AE6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биология, иностранные языки (П),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43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2F604760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05E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 апреля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B6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география, иностранные языки (У),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F5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0B56" w:rsidRPr="00D10103" w14:paraId="3A298081" w14:textId="77777777" w:rsidTr="004A0FF0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9EE7A6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период</w:t>
            </w:r>
          </w:p>
        </w:tc>
      </w:tr>
      <w:tr w:rsidR="00DB0B56" w:rsidRPr="00D10103" w14:paraId="63AAA177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D5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365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история, литература,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A2C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0B56" w:rsidRPr="00D10103" w14:paraId="00FCE58F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370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4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D54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50C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B0B56" w:rsidRPr="00D10103" w14:paraId="664C1CD6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B45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8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202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80E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DB0B56" w:rsidRPr="00D10103" w14:paraId="77CA8BD0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016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684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41B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0B56" w:rsidRPr="00D10103" w14:paraId="1FE2CD44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9C01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15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AC8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биология, география,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980C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0B56" w:rsidRPr="00D10103" w14:paraId="3DD419F1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96D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18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2EA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9CC5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0B56" w:rsidRPr="00D10103" w14:paraId="51EBAC30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0D5E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19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885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BF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0B56" w:rsidRPr="00D10103" w14:paraId="42E025D0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836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33E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A9E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русский язык</w:t>
            </w:r>
          </w:p>
        </w:tc>
      </w:tr>
      <w:tr w:rsidR="00DB0B56" w:rsidRPr="00D10103" w14:paraId="32BDD7DA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720F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23 июня (вт)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698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1010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резерв: 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911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резерв: математика</w:t>
            </w:r>
          </w:p>
        </w:tc>
      </w:tr>
      <w:tr w:rsidR="00DB0B56" w:rsidRPr="00D10103" w14:paraId="66597F50" w14:textId="77777777" w:rsidTr="004A0FF0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E6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24 июня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DC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BF5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0B56" w:rsidRPr="00D10103" w14:paraId="78AD38D5" w14:textId="77777777" w:rsidTr="004A0FF0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12EE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25 июня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965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5B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B56" w:rsidRPr="00D10103" w14:paraId="14F5FC91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A4289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 июля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EB1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дополнительный день: </w:t>
            </w:r>
            <w:r w:rsidRPr="00D1010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34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0B56" w:rsidRPr="00D10103" w14:paraId="7D3BFEDB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F761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9 июля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0A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дополнительный день</w:t>
            </w:r>
            <w:r w:rsidRPr="00D1010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  <w:r w:rsidRPr="00D10103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0B56" w:rsidRPr="00D10103" w14:paraId="68A083B8" w14:textId="77777777" w:rsidTr="004A0FF0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AD18E4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10103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Дополнительный (сентябрьский) период</w:t>
            </w:r>
          </w:p>
        </w:tc>
      </w:tr>
      <w:tr w:rsidR="00DB0B56" w:rsidRPr="00D10103" w14:paraId="3B48BF4D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A2015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4 сентября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83C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123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B0B56" w:rsidRPr="00D10103" w14:paraId="6CDCED09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C0AA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8 сентября (вт)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5D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4B2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B0B56" w:rsidRPr="00D10103" w14:paraId="45E9929C" w14:textId="77777777" w:rsidTr="004A0FF0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E524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25 сентября (</w:t>
            </w:r>
            <w:proofErr w:type="spellStart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1010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550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математика Б,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C5D7" w14:textId="77777777" w:rsidR="00DB0B56" w:rsidRPr="00D10103" w:rsidRDefault="00DB0B56" w:rsidP="004A0FF0">
            <w:pPr>
              <w:spacing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1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резерв: математика, русский язык</w:t>
            </w:r>
          </w:p>
        </w:tc>
      </w:tr>
    </w:tbl>
    <w:p w14:paraId="2CAA4BC8" w14:textId="77777777" w:rsidR="00DB0B56" w:rsidRPr="00D10103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1C29FAB8" w14:textId="77777777" w:rsidR="00DB0B56" w:rsidRPr="00D10103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D2F32"/>
          <w:sz w:val="28"/>
          <w:szCs w:val="28"/>
          <w:lang w:val="ru-RU"/>
        </w:rPr>
        <w:t>В</w:t>
      </w:r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ыпускники текущего года подают заявление в своей школе. </w:t>
      </w:r>
      <w:proofErr w:type="gram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Выпускники  прошлых</w:t>
      </w:r>
      <w:proofErr w:type="gram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 </w:t>
      </w:r>
      <w:proofErr w:type="gram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лет,  обучающиеся</w:t>
      </w:r>
      <w:proofErr w:type="gram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 </w:t>
      </w:r>
      <w:proofErr w:type="gram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в  общеобразовательных</w:t>
      </w:r>
      <w:proofErr w:type="gram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 </w:t>
      </w:r>
      <w:proofErr w:type="gram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организациях  среднего</w:t>
      </w:r>
      <w:proofErr w:type="gram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 профессионального образования, и обучающиеся, получающие образование в иностранных образовательных организациях, подают заявление в органы управления образованием по месту фактического проживания. Часы работы можно уточнить в местах подачи заявлений. Выпускники прошлых лет при подаче заявления предъявляют документ, удостоверяющий личность, его копию, оригинал документа об образовании или его заверенную копию, СНИЛС, копию </w:t>
      </w:r>
      <w:proofErr w:type="spell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СНИЛСа</w:t>
      </w:r>
      <w:proofErr w:type="spell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. Обучающиеся по программам среднего профессионального образования предъявляют документ, удостоверяющий личность, его копию, СНИЛС, копию </w:t>
      </w:r>
      <w:proofErr w:type="spell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СНИЛСа</w:t>
      </w:r>
      <w:proofErr w:type="spell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и справку, подтверждающую </w:t>
      </w:r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 xml:space="preserve">освоение образовательных программ среднего общего образования или завершение </w:t>
      </w:r>
      <w:proofErr w:type="spell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освоенияобразовательных</w:t>
      </w:r>
      <w:proofErr w:type="spell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программ среднего общего образования в текущем учебном </w:t>
      </w:r>
      <w:proofErr w:type="spellStart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году.Обучающиеся</w:t>
      </w:r>
      <w:proofErr w:type="spellEnd"/>
      <w:r w:rsidRPr="00D10103">
        <w:rPr>
          <w:rFonts w:ascii="Times New Roman" w:hAnsi="Times New Roman" w:cs="Times New Roman"/>
          <w:color w:val="2D2F32"/>
          <w:sz w:val="28"/>
          <w:szCs w:val="28"/>
          <w:lang w:val="ru-RU"/>
        </w:rPr>
        <w:t>, получающие образование в иностранных образовательных организациях, предъявляют документ, удостоверяющий личность, его копию, справку,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Все документы предъявляются с заверенным в установленном порядке переводом с иностранного языка.</w:t>
      </w:r>
    </w:p>
    <w:p w14:paraId="11842E20" w14:textId="77777777" w:rsidR="00DB0B56" w:rsidRPr="00D10103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16EA4DD4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участия в едином государственном экзамене (ЕГЭ)/государственном выпускном экзамене (ГВЭ) необходимо подать заявление не позднее 01 февраля:</w:t>
      </w:r>
    </w:p>
    <w:p w14:paraId="35B88D71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обучающимся – в образовательные организации, в которых они осваивают образовательные программы среднего общего образования;</w:t>
      </w:r>
    </w:p>
    <w:p w14:paraId="0416F036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14:paraId="7F09F804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выпускникам прошлых лет, обучающимся по образовательным программам среднего профессионального образования, обучающимся, получающим среднее общее образование в иностранных образовательных организациях – в места регистрации, утвержденные приказом министерства образования Новосибирской области.</w:t>
      </w:r>
    </w:p>
    <w:p w14:paraId="3C7CBEB2" w14:textId="77777777" w:rsidR="00DB0B56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18AC7547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Заявления на участие в ГИА-11 подаются на основании сведений о следующих документах:</w:t>
      </w:r>
    </w:p>
    <w:p w14:paraId="2B1BEAA1" w14:textId="77777777" w:rsidR="00DB0B56" w:rsidRPr="006665F0" w:rsidRDefault="00DB0B56" w:rsidP="00DB0B5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документ, удостоверяющий личность;</w:t>
      </w:r>
    </w:p>
    <w:p w14:paraId="6904E10D" w14:textId="77777777" w:rsidR="00DB0B56" w:rsidRPr="006665F0" w:rsidRDefault="00DB0B56" w:rsidP="00DB0B56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страховой номер индивидуального лицевого счета (СНИЛС).</w:t>
      </w:r>
    </w:p>
    <w:p w14:paraId="7B3AA342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Дополнительные документы для отдельных категорий:</w:t>
      </w:r>
    </w:p>
    <w:p w14:paraId="13961EA1" w14:textId="77777777" w:rsidR="00DB0B56" w:rsidRPr="006665F0" w:rsidRDefault="00DB0B56" w:rsidP="00DB0B56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выпускников прошлых лет – копия документа об образовании (аттестат о среднем общем образовании, диплом);</w:t>
      </w:r>
    </w:p>
    <w:p w14:paraId="0121BF83" w14:textId="77777777" w:rsidR="00DB0B56" w:rsidRPr="006665F0" w:rsidRDefault="00DB0B56" w:rsidP="00DB0B56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обучающиеся по образовательным программам среднего профессионального образования – копия справки из образовательной организации среднего профессионального образования, подтверждающая освоение или завершение освоения образовательных программ среднего общего образования в текущем учебном году;</w:t>
      </w:r>
    </w:p>
    <w:p w14:paraId="06BCC0D6" w14:textId="77777777" w:rsidR="00DB0B56" w:rsidRPr="006665F0" w:rsidRDefault="00DB0B56" w:rsidP="00DB0B56">
      <w:pPr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обучающихся иностранных образовательных организаций – справка из иностранной образовательной организации, подтверждающая освоение или завершение освоения образовательных программ среднего общего образования в текущем учебном году с переводом на русский язык.</w:t>
      </w:r>
    </w:p>
    <w:p w14:paraId="123E86B9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организации условий/специальных условий при проведении ГИА-11 необходимо предоставить:</w:t>
      </w:r>
    </w:p>
    <w:p w14:paraId="03C30FEF" w14:textId="77777777" w:rsidR="00DB0B56" w:rsidRPr="006665F0" w:rsidRDefault="00DB0B56" w:rsidP="00DB0B56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справку об установлении инвалидности (дает право на выбор формы – ЕГЭ или ГВЭ, увеличение продолжительности экзамена по учебному предмету на 1,5 часа, ЕГЭ по предмету "Иностранный язык" (раздел "Говорение – на 30 минут"));</w:t>
      </w:r>
    </w:p>
    <w:p w14:paraId="6D46FFCD" w14:textId="77777777" w:rsidR="00DB0B56" w:rsidRPr="006665F0" w:rsidRDefault="00DB0B56" w:rsidP="00DB0B56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и (или) заключение психолого-медико-педагогической комиссии (для организации дополнительных условий, учитывающих состояние здоровья, особенности психофизического развития участников экзаменов.</w:t>
      </w:r>
    </w:p>
    <w:p w14:paraId="57D057F7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br/>
      </w:r>
      <w:bookmarkStart w:id="0" w:name="OVZ_GIA11"/>
      <w:bookmarkEnd w:id="0"/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Особенности организации и проведения государственной итоговой аттестации для участников с ОВЗ, детей-инвалидов и инвалидов</w:t>
      </w:r>
    </w:p>
    <w:p w14:paraId="6ECB83F5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</w:p>
    <w:p w14:paraId="1092370E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участников 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</w:p>
    <w:p w14:paraId="5456E109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Участники с ОВЗ, дети-инвалиды и инвалиды по желанию могут выбрать форму ГИА: единый государственный экзамен и/или государственный выпускной экзамен.</w:t>
      </w:r>
    </w:p>
    <w:p w14:paraId="24040504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организации условий и/или специальных условий при проведении экзаменов участнику или родителю (законному представителю) необходимо предоставить заключение психолого-медико-педагогической комиссии (ПМПК) о создании условий при проведении ГИА, и/или справки об установлении инвалидности.</w:t>
      </w:r>
    </w:p>
    <w:p w14:paraId="49412FC3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Справка об установлении инвалидности и/или заключение ПМПК дает право на увеличение продолжительности экзамена по учебному предмету на 1,5 часа, по предмету "Иностранный язык" раздел "Говорение" - 30 минут, выбор формы ГИА.</w:t>
      </w:r>
    </w:p>
    <w:p w14:paraId="64D2265A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организации специальных условий (присутствие ассистента, сдача экзаменов на компьютере, предоставление технических средств и т.п.) необходимо получить заключение ПМПК.</w:t>
      </w:r>
    </w:p>
    <w:p w14:paraId="6D1634B7" w14:textId="77777777" w:rsidR="00DB0B56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</w:p>
    <w:p w14:paraId="07F15183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b/>
          <w:bCs/>
          <w:color w:val="2D2F32"/>
          <w:sz w:val="28"/>
          <w:szCs w:val="28"/>
          <w:lang w:val="ru-RU"/>
        </w:rPr>
        <w:t>Проведение государственной итоговой аттестации</w:t>
      </w:r>
    </w:p>
    <w:p w14:paraId="4FD0B9F9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Экзамены проводятся в пунктах проведения экзаменов (ППЭ), места расположения которых определяются приказом министерства образования Новосибирской области.</w:t>
      </w:r>
    </w:p>
    <w:p w14:paraId="157B65D1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Участникам ГИА до начала экзаменов по месту регистрации выдается уведомление, в котором указаны дата экзамена и адрес ППЭ.</w:t>
      </w:r>
    </w:p>
    <w:p w14:paraId="39FDCD08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Экзамены по всем учебным предметам начинаются в 10.00 по местному времени. В день экзамена участник экзамена должен прибыть в ППЭ не менее чем за 45 минут до начала экзамена. Вход участников экзамена в ППЭ начинается с 09:00 по местному времени. При себе необходимо иметь документ, удостоверяющий личность.</w:t>
      </w:r>
    </w:p>
    <w:p w14:paraId="58AF7808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Продолжительность экзаменов:</w:t>
      </w:r>
    </w:p>
    <w:p w14:paraId="5E9CB9B9" w14:textId="77777777" w:rsidR="00DB0B56" w:rsidRPr="006665F0" w:rsidRDefault="00DB0B56" w:rsidP="00DB0B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математике профильного уровня, физике, литературе, информатике, биологии составляет 3 часа 55 минут (235 минут);</w:t>
      </w:r>
    </w:p>
    <w:p w14:paraId="3D8DE0D9" w14:textId="77777777" w:rsidR="00DB0B56" w:rsidRPr="006665F0" w:rsidRDefault="00DB0B56" w:rsidP="00DB0B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по русскому языку, химии, обществознанию, истории – 3 часа 30 минут (210 минут);</w:t>
      </w:r>
    </w:p>
    <w:p w14:paraId="06F7BB3A" w14:textId="77777777" w:rsidR="00DB0B56" w:rsidRPr="006665F0" w:rsidRDefault="00DB0B56" w:rsidP="00DB0B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иностранным языкам (английский, французский, немецкий, испанский) (за исключением раздела «Говорение») - 3 часа 10 минут (190 минут);</w:t>
      </w:r>
    </w:p>
    <w:p w14:paraId="68D6641A" w14:textId="77777777" w:rsidR="00DB0B56" w:rsidRPr="006665F0" w:rsidRDefault="00DB0B56" w:rsidP="00DB0B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ЕГЭ по математике базового ‎уровня, географии, иностранному языку (китайский) (за исключением раздела «Говорение») – 3 часа (180 минут);</w:t>
      </w:r>
    </w:p>
    <w:p w14:paraId="03CB36F4" w14:textId="77777777" w:rsidR="00DB0B56" w:rsidRPr="006665F0" w:rsidRDefault="00DB0B56" w:rsidP="00DB0B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иностранным языкам (английский, французский, немецкий, испанский) (раздел «Говорение») - 17 минут;</w:t>
      </w:r>
    </w:p>
    <w:p w14:paraId="2607EBA2" w14:textId="77777777" w:rsidR="00DB0B56" w:rsidRPr="006665F0" w:rsidRDefault="00DB0B56" w:rsidP="00DB0B56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иностранному языку (китайский) (раздел «Говорение») – 14 минут.</w:t>
      </w:r>
    </w:p>
    <w:p w14:paraId="18E77A26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Для участников с ограниченными возможностями здоровья (ОВЗ) (при предъявлении копии рекомендации ПМПК), детей-инвалидов и инвалидов (при предъявлении справки, подтверждающей инвалидность) предусмотрено увеличение продолжительности экзамена по учебному предмету на 1,5 часа, по предмету "Иностранный язык" раздел "Говорение" - 30 минут.</w:t>
      </w:r>
    </w:p>
    <w:p w14:paraId="0345C48C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Если участник экзамена опоздал, он допускается к сдаче экзамена в установленном порядке, при этом время окончания экзамена не продлевается, о чем сообщается участнику экзамена.</w:t>
      </w:r>
    </w:p>
    <w:p w14:paraId="2691DFF0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Во время экзамена на рабочем столе участника экзамена, помимо экзаменационных материалов, могут находиться: гелевая, капиллярная ручка с чернилами черного цвета; документ, удостоверяющий личность; лекарства и питание (при необходимости); специальные технические средства (для лиц с ОВЗ, детей-инвалидов, инвалидов).</w:t>
      </w:r>
    </w:p>
    <w:p w14:paraId="4548D30E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Дополнительные материалы, которые можно использовать на ЕГЭ по отдельным учебным предметам:</w:t>
      </w:r>
    </w:p>
    <w:p w14:paraId="15D59AE7" w14:textId="77777777" w:rsidR="00DB0B56" w:rsidRPr="006665F0" w:rsidRDefault="00DB0B56" w:rsidP="00DB0B56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математике – линейка, не содержащая справочной информации ‎(далее – линейка), для построения чертежей и рисунков;</w:t>
      </w:r>
    </w:p>
    <w:p w14:paraId="3EA44917" w14:textId="77777777" w:rsidR="00DB0B56" w:rsidRPr="006665F0" w:rsidRDefault="00DB0B56" w:rsidP="00DB0B56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по физике – 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</w:t>
      </w: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извлечение корня) и вычисление тригонометрических функций (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sin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, 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cos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, 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tg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, 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ctg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, 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arcsin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, 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arccos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, </w:t>
      </w:r>
      <w:proofErr w:type="spell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arctg</w:t>
      </w:r>
      <w:proofErr w:type="spell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), при этом не осуществляющий функции средства связи, хранилища базы данных и не имеющий доступ к сетям передачи данных ‎(в том числе к информационно-телекоммуникационной сети «Интернет») ‎(далее – непрограммируемый калькулятор);</w:t>
      </w:r>
    </w:p>
    <w:p w14:paraId="3F94C189" w14:textId="77777777" w:rsidR="00DB0B56" w:rsidRPr="006665F0" w:rsidRDefault="00DB0B56" w:rsidP="00DB0B56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по химии – непрограммируемый калькулятор; Периодическая система химических элементов Д.И. Менделеева, выдаваемая с КИМ; таблица растворимости солей, кислот ‎и оснований в </w:t>
      </w:r>
      <w:proofErr w:type="gramStart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воде,  выдаваемая</w:t>
      </w:r>
      <w:proofErr w:type="gramEnd"/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 с КИМ; электрохимический ряд напряжений металлов, выдаваемый с КИМ;</w:t>
      </w:r>
    </w:p>
    <w:p w14:paraId="48D177DD" w14:textId="77777777" w:rsidR="00DB0B56" w:rsidRPr="006665F0" w:rsidRDefault="00DB0B56" w:rsidP="00DB0B56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биологии – непрограммируемый калькулятор;</w:t>
      </w:r>
    </w:p>
    <w:p w14:paraId="26F043FC" w14:textId="77777777" w:rsidR="00DB0B56" w:rsidRPr="006665F0" w:rsidRDefault="00DB0B56" w:rsidP="00DB0B56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географии – непрограммируемый калькулятор; географические карты (административная карта России, политическая карта мира) и статистические приложения, выдаваемые с КИМ, для решения практических заданий;</w:t>
      </w:r>
    </w:p>
    <w:p w14:paraId="6A6CE732" w14:textId="77777777" w:rsidR="00DB0B56" w:rsidRPr="006665F0" w:rsidRDefault="00DB0B56" w:rsidP="00DB0B56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по литературе – орфографический словарь, позволяющий устанавливать нормативное написание слов.</w:t>
      </w:r>
    </w:p>
    <w:p w14:paraId="6EEE6265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Во время экзаменов (в период с момента входа в ППЭ и до окончания экзамена) участникам запрещено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4A41B8D9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Участники экзамена, нарушившие установленные требования, удаляются с экзамена (составляется «Акт об удалении участника экзамена»).</w:t>
      </w:r>
    </w:p>
    <w:p w14:paraId="565D35EC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>Участники экзамена, досрочно завершившие выполнение экзаменационной работы, сдают экзаменационные материалы и черновики организаторам, не дожидаясь завершения окончания экзамена.</w:t>
      </w:r>
    </w:p>
    <w:p w14:paraId="50EA7773" w14:textId="77777777" w:rsidR="00DB0B56" w:rsidRPr="006665F0" w:rsidRDefault="00DB0B56" w:rsidP="00DB0B56">
      <w:pPr>
        <w:spacing w:line="360" w:lineRule="auto"/>
        <w:ind w:firstLine="567"/>
        <w:jc w:val="both"/>
        <w:rPr>
          <w:rFonts w:ascii="Times New Roman" w:hAnsi="Times New Roman" w:cs="Times New Roman"/>
          <w:color w:val="2D2F32"/>
          <w:sz w:val="28"/>
          <w:szCs w:val="28"/>
          <w:lang w:val="ru-RU"/>
        </w:rPr>
      </w:pP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t xml:space="preserve">В случае если участник экзамена по состоянию здоровья или другим объективным причинам не может завершить экзамен, он может покинуть аудиторию ППЭ (оформляется «Акт о досрочном завершении экзамена по уважительным причинам»). В дальнейшем участник экзамена по решению </w:t>
      </w:r>
      <w:r w:rsidRPr="006665F0">
        <w:rPr>
          <w:rFonts w:ascii="Times New Roman" w:hAnsi="Times New Roman" w:cs="Times New Roman"/>
          <w:color w:val="2D2F32"/>
          <w:sz w:val="28"/>
          <w:szCs w:val="28"/>
          <w:lang w:val="ru-RU"/>
        </w:rPr>
        <w:lastRenderedPageBreak/>
        <w:t>председателя ГЭК сможет сдать экзамен по данному предмету в резервные сроки. </w:t>
      </w:r>
    </w:p>
    <w:p w14:paraId="47502830" w14:textId="77777777" w:rsidR="00D25D6C" w:rsidRPr="00DB0B56" w:rsidRDefault="00D25D6C">
      <w:pPr>
        <w:rPr>
          <w:lang w:val="ru-RU"/>
        </w:rPr>
      </w:pPr>
    </w:p>
    <w:sectPr w:rsidR="00D25D6C" w:rsidRPr="00DB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EEC"/>
    <w:multiLevelType w:val="multilevel"/>
    <w:tmpl w:val="F48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74A68"/>
    <w:multiLevelType w:val="multilevel"/>
    <w:tmpl w:val="7F26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95A34"/>
    <w:multiLevelType w:val="multilevel"/>
    <w:tmpl w:val="99AA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D4313A"/>
    <w:multiLevelType w:val="multilevel"/>
    <w:tmpl w:val="602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A6275"/>
    <w:multiLevelType w:val="multilevel"/>
    <w:tmpl w:val="C634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851927">
    <w:abstractNumId w:val="2"/>
  </w:num>
  <w:num w:numId="2" w16cid:durableId="331378405">
    <w:abstractNumId w:val="4"/>
  </w:num>
  <w:num w:numId="3" w16cid:durableId="1649169298">
    <w:abstractNumId w:val="0"/>
  </w:num>
  <w:num w:numId="4" w16cid:durableId="2084133674">
    <w:abstractNumId w:val="3"/>
  </w:num>
  <w:num w:numId="5" w16cid:durableId="202469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56"/>
    <w:rsid w:val="006A03C0"/>
    <w:rsid w:val="006C53CC"/>
    <w:rsid w:val="00D25D6C"/>
    <w:rsid w:val="00D534EC"/>
    <w:rsid w:val="00DB0B56"/>
    <w:rsid w:val="00D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EED4"/>
  <w15:chartTrackingRefBased/>
  <w15:docId w15:val="{19196823-C3B7-48DF-B989-8543730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56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B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1654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П. Попов</dc:creator>
  <cp:keywords/>
  <dc:description/>
  <cp:lastModifiedBy>Семён П. Попов</cp:lastModifiedBy>
  <cp:revision>1</cp:revision>
  <dcterms:created xsi:type="dcterms:W3CDTF">2026-01-19T06:51:00Z</dcterms:created>
  <dcterms:modified xsi:type="dcterms:W3CDTF">2026-01-19T06:51:00Z</dcterms:modified>
</cp:coreProperties>
</file>